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9A1DC" w14:textId="77777777" w:rsidR="00F87297" w:rsidRPr="006C542B" w:rsidRDefault="004D517F" w:rsidP="00F87297">
      <w:pPr>
        <w:pStyle w:val="Maintitle"/>
        <w:rPr>
          <w:rFonts w:cs="Arial"/>
          <w:b/>
          <w:color w:val="auto"/>
          <w:sz w:val="32"/>
          <w:szCs w:val="32"/>
          <w:lang w:val="en-GB"/>
        </w:rPr>
      </w:pPr>
      <w:r w:rsidRPr="006C542B">
        <w:rPr>
          <w:rFonts w:cs="Arial"/>
          <w:b/>
          <w:color w:val="auto"/>
          <w:sz w:val="32"/>
          <w:szCs w:val="32"/>
          <w:lang w:val="en-GB"/>
        </w:rPr>
        <w:t>Appendix F –</w:t>
      </w:r>
      <w:bookmarkStart w:id="0" w:name="_Hlk79134680"/>
      <w:r w:rsidR="00083353" w:rsidRPr="006C542B">
        <w:rPr>
          <w:rFonts w:cs="Arial"/>
          <w:b/>
          <w:color w:val="auto"/>
          <w:sz w:val="32"/>
          <w:szCs w:val="32"/>
          <w:lang w:val="en-GB"/>
        </w:rPr>
        <w:t xml:space="preserve"> </w:t>
      </w:r>
      <w:r w:rsidR="008D5B72" w:rsidRPr="006C542B">
        <w:rPr>
          <w:rFonts w:cs="Arial"/>
          <w:b/>
          <w:color w:val="auto"/>
          <w:sz w:val="32"/>
          <w:szCs w:val="32"/>
          <w:lang w:val="en-GB"/>
        </w:rPr>
        <w:t xml:space="preserve">Special Occasion Vehicles </w:t>
      </w:r>
      <w:bookmarkEnd w:id="0"/>
    </w:p>
    <w:p w14:paraId="047335E3" w14:textId="77777777" w:rsidR="007E36A0" w:rsidRPr="006C542B" w:rsidRDefault="007E36A0" w:rsidP="006C542B">
      <w:pPr>
        <w:pStyle w:val="Maintitle"/>
        <w:rPr>
          <w:rFonts w:cs="Arial"/>
          <w:b/>
          <w:color w:val="auto"/>
          <w:sz w:val="28"/>
          <w:szCs w:val="28"/>
          <w:lang w:val="en-GB"/>
        </w:rPr>
      </w:pPr>
    </w:p>
    <w:p w14:paraId="52E70B72" w14:textId="77777777" w:rsidR="007E36A0" w:rsidRPr="00D97495" w:rsidRDefault="007E36A0" w:rsidP="006C542B">
      <w:pPr>
        <w:pStyle w:val="BodyText"/>
        <w:tabs>
          <w:tab w:val="left" w:pos="709"/>
        </w:tabs>
        <w:ind w:left="709" w:right="1134" w:hanging="709"/>
        <w:jc w:val="left"/>
      </w:pPr>
      <w:r w:rsidRPr="00D97495">
        <w:t>1.1</w:t>
      </w:r>
      <w:r w:rsidRPr="00D97495">
        <w:tab/>
        <w:t>The following conditions are</w:t>
      </w:r>
      <w:r>
        <w:t xml:space="preserve"> considered to be reasonably necessary </w:t>
      </w:r>
      <w:r w:rsidRPr="00D97495">
        <w:t xml:space="preserve">by North Northamptonshire Council in </w:t>
      </w:r>
      <w:r>
        <w:t xml:space="preserve">relation to private hire vehicle licence applications for Executive / Special Occasion Vehicles licences </w:t>
      </w:r>
      <w:r w:rsidR="00212CC4">
        <w:t>and applications for exemptions from displaying licence plates. A</w:t>
      </w:r>
      <w:r>
        <w:t xml:space="preserve">ll licences for such vehicles will be granted subject to these conditions. </w:t>
      </w:r>
    </w:p>
    <w:p w14:paraId="04AF0748" w14:textId="77777777" w:rsidR="007E36A0" w:rsidRPr="00D97495" w:rsidRDefault="007E36A0" w:rsidP="006C542B">
      <w:pPr>
        <w:pStyle w:val="BodyText"/>
        <w:tabs>
          <w:tab w:val="left" w:pos="709"/>
        </w:tabs>
        <w:ind w:left="709" w:right="1134" w:hanging="709"/>
        <w:jc w:val="left"/>
      </w:pPr>
    </w:p>
    <w:p w14:paraId="49B71A17" w14:textId="77777777" w:rsidR="007E36A0" w:rsidRPr="00D97495" w:rsidRDefault="007E36A0" w:rsidP="006C542B">
      <w:pPr>
        <w:pStyle w:val="BodyText"/>
        <w:tabs>
          <w:tab w:val="left" w:pos="709"/>
        </w:tabs>
        <w:ind w:left="709" w:right="1134" w:hanging="709"/>
        <w:jc w:val="left"/>
      </w:pPr>
      <w:r w:rsidRPr="00D97495">
        <w:t>1.2</w:t>
      </w:r>
      <w:r w:rsidRPr="00D97495">
        <w:tab/>
      </w:r>
      <w:r>
        <w:t xml:space="preserve">In determining these </w:t>
      </w:r>
      <w:r w:rsidRPr="00D97495">
        <w:t xml:space="preserve">conditions </w:t>
      </w:r>
      <w:r>
        <w:t xml:space="preserve">the </w:t>
      </w:r>
      <w:r w:rsidR="00FB056E">
        <w:t>Council</w:t>
      </w:r>
      <w:r>
        <w:t xml:space="preserve"> has had </w:t>
      </w:r>
      <w:r w:rsidRPr="00D97495">
        <w:t>regard to the Department of Transport Statutory Taxi &amp; Private Hire Vehicle Standards July 2020.</w:t>
      </w:r>
    </w:p>
    <w:p w14:paraId="1070C265" w14:textId="77777777" w:rsidR="007E36A0" w:rsidRPr="00D97495" w:rsidRDefault="007E36A0" w:rsidP="006C542B">
      <w:pPr>
        <w:pStyle w:val="BodyText"/>
        <w:tabs>
          <w:tab w:val="left" w:pos="709"/>
        </w:tabs>
        <w:ind w:left="709" w:right="1134" w:hanging="709"/>
        <w:jc w:val="left"/>
      </w:pPr>
    </w:p>
    <w:p w14:paraId="50DE4E98" w14:textId="77777777" w:rsidR="007E36A0" w:rsidRPr="00D97495" w:rsidRDefault="007E36A0" w:rsidP="006C542B">
      <w:pPr>
        <w:pStyle w:val="BodyText"/>
        <w:tabs>
          <w:tab w:val="left" w:pos="709"/>
        </w:tabs>
        <w:spacing w:before="1"/>
        <w:ind w:left="709" w:right="1082" w:hanging="709"/>
        <w:jc w:val="left"/>
      </w:pPr>
      <w:r w:rsidRPr="00D97495">
        <w:t>1.3</w:t>
      </w:r>
      <w:r w:rsidRPr="00D97495">
        <w:tab/>
        <w:t xml:space="preserve">These conditions are ancillary to and should be read in conjunction with applicable statutory legislation. </w:t>
      </w:r>
    </w:p>
    <w:p w14:paraId="7B79F601" w14:textId="77777777" w:rsidR="007E36A0" w:rsidRPr="00D97495" w:rsidRDefault="007E36A0" w:rsidP="006C542B">
      <w:pPr>
        <w:pStyle w:val="BodyText"/>
        <w:tabs>
          <w:tab w:val="left" w:pos="709"/>
        </w:tabs>
        <w:ind w:left="709" w:right="1134" w:hanging="709"/>
        <w:jc w:val="left"/>
      </w:pPr>
    </w:p>
    <w:p w14:paraId="10DF8DEF" w14:textId="77777777" w:rsidR="007E36A0" w:rsidRPr="00D97495" w:rsidRDefault="007E36A0" w:rsidP="006C542B">
      <w:pPr>
        <w:pStyle w:val="BodyText"/>
        <w:tabs>
          <w:tab w:val="left" w:pos="709"/>
        </w:tabs>
        <w:ind w:left="709" w:right="1134" w:hanging="709"/>
        <w:jc w:val="left"/>
      </w:pPr>
      <w:r w:rsidRPr="00D97495">
        <w:t>1.4</w:t>
      </w:r>
      <w:r w:rsidRPr="00D97495">
        <w:tab/>
        <w:t xml:space="preserve">The conditions of licence are made pursuant to Section </w:t>
      </w:r>
      <w:r w:rsidR="00212CC4">
        <w:t>48</w:t>
      </w:r>
      <w:r w:rsidRPr="00D97495">
        <w:t xml:space="preserve"> of the Local Government (Miscellaneous Provisions) Act 1976, </w:t>
      </w:r>
    </w:p>
    <w:p w14:paraId="6B54D02E" w14:textId="77777777" w:rsidR="007E36A0" w:rsidRPr="00D97495" w:rsidRDefault="007E36A0" w:rsidP="006C542B">
      <w:pPr>
        <w:pStyle w:val="BodyText"/>
        <w:tabs>
          <w:tab w:val="left" w:pos="709"/>
        </w:tabs>
        <w:ind w:left="709" w:right="1082" w:hanging="709"/>
        <w:jc w:val="left"/>
      </w:pPr>
    </w:p>
    <w:p w14:paraId="2FC3640E" w14:textId="77777777" w:rsidR="00165A17" w:rsidRDefault="007E36A0" w:rsidP="006C542B">
      <w:pPr>
        <w:pStyle w:val="BodyText"/>
        <w:tabs>
          <w:tab w:val="left" w:pos="709"/>
        </w:tabs>
        <w:ind w:left="709" w:right="1134" w:hanging="709"/>
        <w:jc w:val="left"/>
      </w:pPr>
      <w:r w:rsidRPr="00D97495">
        <w:t>1.5</w:t>
      </w:r>
      <w:r w:rsidRPr="00D97495">
        <w:tab/>
        <w:t xml:space="preserve">Failure to comply with any of the conditions attached to this licence may result in </w:t>
      </w:r>
      <w:r w:rsidR="003E7573">
        <w:t xml:space="preserve">NNC Licensing </w:t>
      </w:r>
      <w:r>
        <w:t>Penalty Points being issued to the licence holder, or other action such as referral to the Licensing Sub Committee, with a view to potential</w:t>
      </w:r>
      <w:r w:rsidRPr="00D97495">
        <w:t xml:space="preserve"> suspen</w:t>
      </w:r>
      <w:r>
        <w:t>sion or</w:t>
      </w:r>
      <w:r w:rsidRPr="00D97495">
        <w:t xml:space="preserve"> revo</w:t>
      </w:r>
      <w:r>
        <w:t>cation of the licence.</w:t>
      </w:r>
      <w:bookmarkStart w:id="1" w:name="_Hlk61957043"/>
      <w:bookmarkEnd w:id="1"/>
    </w:p>
    <w:p w14:paraId="75E243ED" w14:textId="77777777" w:rsidR="00083353" w:rsidRDefault="00083353" w:rsidP="006C542B">
      <w:pPr>
        <w:pStyle w:val="BodyText"/>
        <w:tabs>
          <w:tab w:val="left" w:pos="709"/>
        </w:tabs>
        <w:ind w:left="709" w:right="1134" w:hanging="709"/>
        <w:jc w:val="left"/>
      </w:pPr>
    </w:p>
    <w:p w14:paraId="0454C8F2" w14:textId="77777777" w:rsidR="006C542B" w:rsidRDefault="006C542B" w:rsidP="006C542B">
      <w:pPr>
        <w:pStyle w:val="BodyText"/>
        <w:tabs>
          <w:tab w:val="left" w:pos="709"/>
        </w:tabs>
        <w:ind w:left="709" w:right="1134" w:hanging="709"/>
        <w:jc w:val="left"/>
      </w:pPr>
    </w:p>
    <w:p w14:paraId="43ADAA7B" w14:textId="77777777" w:rsidR="00083353" w:rsidRPr="00083353" w:rsidRDefault="00083353" w:rsidP="006C542B">
      <w:pPr>
        <w:pStyle w:val="BodyText"/>
        <w:tabs>
          <w:tab w:val="left" w:pos="709"/>
        </w:tabs>
        <w:ind w:left="709" w:right="1134" w:hanging="709"/>
        <w:jc w:val="left"/>
      </w:pPr>
      <w:r>
        <w:rPr>
          <w:b/>
          <w:bCs/>
        </w:rPr>
        <w:t>2.</w:t>
      </w:r>
      <w:r w:rsidR="006C542B">
        <w:rPr>
          <w:b/>
          <w:bCs/>
        </w:rPr>
        <w:t>0</w:t>
      </w:r>
      <w:r>
        <w:rPr>
          <w:b/>
          <w:bCs/>
        </w:rPr>
        <w:t xml:space="preserve"> </w:t>
      </w:r>
      <w:r w:rsidR="006C542B">
        <w:rPr>
          <w:b/>
          <w:bCs/>
        </w:rPr>
        <w:tab/>
      </w:r>
      <w:r>
        <w:rPr>
          <w:b/>
          <w:bCs/>
        </w:rPr>
        <w:t>Conditions</w:t>
      </w:r>
    </w:p>
    <w:p w14:paraId="7871FDDB" w14:textId="77777777" w:rsidR="00083353" w:rsidRDefault="00083353" w:rsidP="006C542B">
      <w:pPr>
        <w:pStyle w:val="BodyText"/>
        <w:tabs>
          <w:tab w:val="left" w:pos="709"/>
        </w:tabs>
        <w:ind w:left="709" w:right="1134" w:hanging="709"/>
        <w:jc w:val="left"/>
      </w:pPr>
    </w:p>
    <w:p w14:paraId="4824BE35" w14:textId="77777777" w:rsidR="00083353" w:rsidRDefault="00083353" w:rsidP="006C542B">
      <w:pPr>
        <w:pStyle w:val="BodyText"/>
        <w:tabs>
          <w:tab w:val="left" w:pos="709"/>
        </w:tabs>
        <w:ind w:left="709" w:right="1134" w:hanging="709"/>
        <w:jc w:val="left"/>
      </w:pPr>
      <w:r>
        <w:t xml:space="preserve">2.1    </w:t>
      </w:r>
      <w:r>
        <w:tab/>
        <w:t>The vehicle will be inspected annually to ensure that the vehicle remains in immaculate condition internally and externally. This inspection is by an authorised officer of the Council and is in addition to the standard Council tests.</w:t>
      </w:r>
    </w:p>
    <w:p w14:paraId="44A1D6A3" w14:textId="77777777" w:rsidR="00083353" w:rsidRDefault="00083353" w:rsidP="006C542B">
      <w:pPr>
        <w:pStyle w:val="BodyText"/>
        <w:tabs>
          <w:tab w:val="left" w:pos="709"/>
        </w:tabs>
        <w:ind w:left="709" w:right="1134" w:hanging="709"/>
        <w:jc w:val="left"/>
      </w:pPr>
    </w:p>
    <w:p w14:paraId="0FB40DD3" w14:textId="77777777" w:rsidR="00083353" w:rsidRDefault="00083353" w:rsidP="006C542B">
      <w:pPr>
        <w:pStyle w:val="BodyText"/>
        <w:tabs>
          <w:tab w:val="left" w:pos="709"/>
        </w:tabs>
        <w:ind w:left="709" w:right="1134" w:hanging="709"/>
        <w:jc w:val="left"/>
      </w:pPr>
      <w:r>
        <w:t xml:space="preserve">2.2 </w:t>
      </w:r>
      <w:r>
        <w:tab/>
        <w:t>The normal conditions applying to the licensing of vehicles, operators and drivers will apply, except where inconsistent with these special conditions.</w:t>
      </w:r>
    </w:p>
    <w:p w14:paraId="09830CA1" w14:textId="77777777" w:rsidR="00083353" w:rsidRDefault="00083353" w:rsidP="006C542B">
      <w:pPr>
        <w:pStyle w:val="BodyText"/>
        <w:tabs>
          <w:tab w:val="left" w:pos="709"/>
        </w:tabs>
        <w:ind w:left="709" w:right="1134" w:hanging="709"/>
        <w:jc w:val="left"/>
      </w:pPr>
    </w:p>
    <w:p w14:paraId="03884014" w14:textId="77777777" w:rsidR="00083353" w:rsidRDefault="00083353" w:rsidP="006C542B">
      <w:pPr>
        <w:pStyle w:val="BodyText"/>
        <w:tabs>
          <w:tab w:val="left" w:pos="709"/>
        </w:tabs>
        <w:ind w:left="709" w:right="1134" w:hanging="709"/>
        <w:jc w:val="left"/>
      </w:pPr>
      <w:r>
        <w:t xml:space="preserve">2.3 </w:t>
      </w:r>
      <w:r>
        <w:tab/>
        <w:t>Owners of vehicles converted from a standard production model must retain the original documentation to confirm that the conversion was approved by the original manufacturer and that the conversion was undertaken by a converter/modifier under an approved Scheme. This documentation must be produced on request by an authorised officer of the Council.</w:t>
      </w:r>
    </w:p>
    <w:p w14:paraId="1D0EEC9A" w14:textId="77777777" w:rsidR="00083353" w:rsidRDefault="00083353" w:rsidP="006C542B">
      <w:pPr>
        <w:pStyle w:val="BodyText"/>
        <w:tabs>
          <w:tab w:val="left" w:pos="709"/>
        </w:tabs>
        <w:ind w:left="709" w:right="1134" w:hanging="709"/>
        <w:jc w:val="left"/>
      </w:pPr>
    </w:p>
    <w:p w14:paraId="2EFB7F05" w14:textId="53B94770" w:rsidR="00083353" w:rsidRDefault="00083353" w:rsidP="006C542B">
      <w:pPr>
        <w:pStyle w:val="BodyText"/>
        <w:tabs>
          <w:tab w:val="left" w:pos="709"/>
        </w:tabs>
        <w:ind w:left="709" w:right="1134" w:hanging="709"/>
        <w:jc w:val="left"/>
      </w:pPr>
      <w:r>
        <w:t xml:space="preserve">2.4 </w:t>
      </w:r>
      <w:r>
        <w:tab/>
      </w:r>
      <w:r w:rsidR="00283DA3">
        <w:t>Any imported vehicle must g</w:t>
      </w:r>
      <w:r w:rsidR="00283DA3" w:rsidRPr="00283DA3">
        <w:t xml:space="preserve">et vehicle approval to show that </w:t>
      </w:r>
      <w:r w:rsidR="00283DA3">
        <w:t xml:space="preserve">the </w:t>
      </w:r>
      <w:r w:rsidR="00283DA3" w:rsidRPr="00283DA3">
        <w:t xml:space="preserve">vehicle meets environmental and safety regulations. </w:t>
      </w:r>
      <w:r w:rsidR="00283DA3">
        <w:t xml:space="preserve">This approval is required </w:t>
      </w:r>
      <w:r w:rsidR="00283DA3" w:rsidRPr="00283DA3">
        <w:t>to register the vehicle.</w:t>
      </w:r>
      <w:r w:rsidR="00283DA3">
        <w:t xml:space="preserve"> The </w:t>
      </w:r>
      <w:r w:rsidR="00283DA3" w:rsidRPr="00283DA3">
        <w:t>registration certificate</w:t>
      </w:r>
      <w:r w:rsidR="00283DA3">
        <w:t xml:space="preserve"> </w:t>
      </w:r>
      <w:r w:rsidR="00283DA3" w:rsidRPr="00283DA3">
        <w:t>indicate</w:t>
      </w:r>
      <w:r w:rsidR="00283DA3">
        <w:t>s</w:t>
      </w:r>
      <w:r w:rsidR="00283DA3" w:rsidRPr="00283DA3">
        <w:t xml:space="preserve"> the approval status of the vehicle.</w:t>
      </w:r>
      <w:r w:rsidR="00283DA3">
        <w:t xml:space="preserve"> Where a registration certificate does not show an approval status the vehicle will not be considered for licensing. </w:t>
      </w:r>
    </w:p>
    <w:p w14:paraId="05F67BEB" w14:textId="77777777" w:rsidR="00AE36A9" w:rsidRDefault="00AE36A9" w:rsidP="006C542B">
      <w:pPr>
        <w:pStyle w:val="BodyText"/>
        <w:tabs>
          <w:tab w:val="left" w:pos="709"/>
        </w:tabs>
        <w:ind w:left="709" w:right="1134" w:hanging="709"/>
        <w:jc w:val="left"/>
      </w:pPr>
      <w:bookmarkStart w:id="2" w:name="_GoBack"/>
      <w:bookmarkEnd w:id="2"/>
    </w:p>
    <w:p w14:paraId="0144B8B0" w14:textId="57628AAD" w:rsidR="00083353" w:rsidRDefault="00083353" w:rsidP="006C542B">
      <w:pPr>
        <w:pStyle w:val="BodyText"/>
        <w:tabs>
          <w:tab w:val="left" w:pos="709"/>
        </w:tabs>
        <w:ind w:left="709" w:right="1134" w:hanging="709"/>
        <w:jc w:val="left"/>
      </w:pPr>
      <w:r>
        <w:t xml:space="preserve">2.5 </w:t>
      </w:r>
      <w:r>
        <w:tab/>
        <w:t>Vehicles with a partition between the driver and passenger compartment must only be fitted with a clear glass partition to enable full visibility into the rear of the vehicle. The glass should meet the relevant British/ European Standard or its American equivalent. Solid partitions will not be permitted.</w:t>
      </w:r>
      <w:r w:rsidR="00283DA3">
        <w:t xml:space="preserve"> Where a partition is fitted, the front passenger seat will not be included in the </w:t>
      </w:r>
      <w:r w:rsidR="00283DA3">
        <w:lastRenderedPageBreak/>
        <w:t>seating capacity and must not be used for the transport of pass</w:t>
      </w:r>
      <w:r w:rsidR="00036FB9">
        <w:t>en</w:t>
      </w:r>
      <w:r w:rsidR="00283DA3">
        <w:t>gers.</w:t>
      </w:r>
      <w:r w:rsidR="00036FB9">
        <w:t xml:space="preserve"> This requirement is to prevent the driver from risk of attack.</w:t>
      </w:r>
      <w:r w:rsidR="00283DA3">
        <w:t xml:space="preserve"> </w:t>
      </w:r>
    </w:p>
    <w:p w14:paraId="06F3D582" w14:textId="53527E2B" w:rsidR="00036FB9" w:rsidRDefault="00036FB9" w:rsidP="006C542B">
      <w:pPr>
        <w:pStyle w:val="BodyText"/>
        <w:tabs>
          <w:tab w:val="left" w:pos="709"/>
        </w:tabs>
        <w:ind w:left="709" w:right="1134" w:hanging="709"/>
        <w:jc w:val="left"/>
      </w:pPr>
    </w:p>
    <w:p w14:paraId="1EBF1C54" w14:textId="40037B9E" w:rsidR="00036FB9" w:rsidRDefault="00036FB9" w:rsidP="006C542B">
      <w:pPr>
        <w:pStyle w:val="BodyText"/>
        <w:tabs>
          <w:tab w:val="left" w:pos="709"/>
        </w:tabs>
        <w:ind w:left="709" w:right="1134" w:hanging="709"/>
        <w:jc w:val="left"/>
      </w:pPr>
      <w:r>
        <w:t xml:space="preserve">2.6 </w:t>
      </w:r>
      <w:r>
        <w:tab/>
        <w:t>Partitions must not be installed after the vehicle has been tested.</w:t>
      </w:r>
    </w:p>
    <w:p w14:paraId="446DF18F" w14:textId="77777777" w:rsidR="00083353" w:rsidRDefault="00083353" w:rsidP="006C542B">
      <w:pPr>
        <w:pStyle w:val="BodyText"/>
        <w:tabs>
          <w:tab w:val="left" w:pos="709"/>
        </w:tabs>
        <w:ind w:left="709" w:right="1134" w:hanging="709"/>
        <w:jc w:val="left"/>
      </w:pPr>
    </w:p>
    <w:p w14:paraId="1CC52183" w14:textId="77777777" w:rsidR="00083353" w:rsidRDefault="00083353" w:rsidP="006C542B">
      <w:pPr>
        <w:pStyle w:val="BodyText"/>
        <w:tabs>
          <w:tab w:val="left" w:pos="709"/>
        </w:tabs>
        <w:ind w:left="709" w:right="1134" w:hanging="709"/>
        <w:jc w:val="left"/>
      </w:pPr>
      <w:r>
        <w:t xml:space="preserve">2.7 </w:t>
      </w:r>
      <w:r w:rsidR="00333155">
        <w:tab/>
        <w:t xml:space="preserve">Stretched </w:t>
      </w:r>
      <w:r>
        <w:t>Limousine style vehicles must be fitted with a ‘Life’ safety hammer which must be securely located in the driver’s compartment.</w:t>
      </w:r>
    </w:p>
    <w:p w14:paraId="51A36BC4" w14:textId="77777777" w:rsidR="00083353" w:rsidRDefault="00083353" w:rsidP="006C542B">
      <w:pPr>
        <w:pStyle w:val="BodyText"/>
        <w:tabs>
          <w:tab w:val="left" w:pos="709"/>
        </w:tabs>
        <w:ind w:left="709" w:right="1134" w:hanging="709"/>
        <w:jc w:val="left"/>
      </w:pPr>
      <w:r>
        <w:t xml:space="preserve"> </w:t>
      </w:r>
    </w:p>
    <w:p w14:paraId="056A1B7E" w14:textId="5E6B4169" w:rsidR="00083353" w:rsidRDefault="00083353" w:rsidP="006C542B">
      <w:pPr>
        <w:pStyle w:val="BodyText"/>
        <w:tabs>
          <w:tab w:val="left" w:pos="709"/>
        </w:tabs>
        <w:ind w:left="709" w:right="1134" w:hanging="709"/>
        <w:jc w:val="left"/>
      </w:pPr>
      <w:r>
        <w:t xml:space="preserve">2.8 </w:t>
      </w:r>
      <w:r w:rsidR="00333155">
        <w:tab/>
      </w:r>
      <w:r>
        <w:t>All forward facing seats must be fitted with three point all age inertia reel, lap and diagonal seat belts. All other seatbelts fitted to any other seat must be present and working correctly. Appropriate conformity certification for a seatbelt may be required at the discretion of an authorised officer of the Council.</w:t>
      </w:r>
    </w:p>
    <w:p w14:paraId="52AD69B8" w14:textId="77777777" w:rsidR="00083353" w:rsidRDefault="00083353" w:rsidP="006C542B">
      <w:pPr>
        <w:pStyle w:val="BodyText"/>
        <w:tabs>
          <w:tab w:val="left" w:pos="709"/>
        </w:tabs>
        <w:ind w:left="709" w:right="1134" w:hanging="709"/>
        <w:jc w:val="left"/>
      </w:pPr>
    </w:p>
    <w:p w14:paraId="61BD937B" w14:textId="77777777" w:rsidR="00083353" w:rsidRDefault="00083353" w:rsidP="006C542B">
      <w:pPr>
        <w:pStyle w:val="BodyText"/>
        <w:tabs>
          <w:tab w:val="left" w:pos="709"/>
        </w:tabs>
        <w:ind w:left="709" w:right="1134" w:hanging="709"/>
        <w:jc w:val="left"/>
      </w:pPr>
      <w:r>
        <w:t xml:space="preserve">2.9 </w:t>
      </w:r>
      <w:r w:rsidR="00333155">
        <w:tab/>
      </w:r>
      <w:r>
        <w:t>No fare paying passengers are to be carried in the front of the vehicle.</w:t>
      </w:r>
    </w:p>
    <w:p w14:paraId="40CFB524" w14:textId="77777777" w:rsidR="00083353" w:rsidRDefault="00083353" w:rsidP="006C542B">
      <w:pPr>
        <w:pStyle w:val="BodyText"/>
        <w:tabs>
          <w:tab w:val="left" w:pos="709"/>
        </w:tabs>
        <w:ind w:left="709" w:right="1134" w:hanging="709"/>
        <w:jc w:val="left"/>
      </w:pPr>
    </w:p>
    <w:p w14:paraId="7B650FA6" w14:textId="77777777" w:rsidR="00083353" w:rsidRDefault="00083353" w:rsidP="006C542B">
      <w:pPr>
        <w:pStyle w:val="BodyText"/>
        <w:tabs>
          <w:tab w:val="left" w:pos="709"/>
        </w:tabs>
        <w:ind w:left="709" w:right="1134" w:hanging="709"/>
        <w:jc w:val="left"/>
      </w:pPr>
      <w:r>
        <w:t xml:space="preserve">2.10 </w:t>
      </w:r>
      <w:r w:rsidR="00333155">
        <w:tab/>
      </w:r>
      <w:r>
        <w:t>No form of entertainment shall be permitted without written consent from this Authority. The proprietor must ensure that the appropriate licences are held for any form of entertainment to be provided for passengers (such as a premises licence for film, music etc and a Performing Rights Society licence for recorded music).</w:t>
      </w:r>
      <w:r>
        <w:tab/>
      </w:r>
    </w:p>
    <w:p w14:paraId="6F1650E2" w14:textId="77777777" w:rsidR="00083353" w:rsidRDefault="00083353" w:rsidP="006C542B">
      <w:pPr>
        <w:pStyle w:val="BodyText"/>
        <w:tabs>
          <w:tab w:val="left" w:pos="709"/>
        </w:tabs>
        <w:ind w:left="709" w:right="1134" w:hanging="709"/>
        <w:jc w:val="left"/>
      </w:pPr>
      <w:r>
        <w:tab/>
      </w:r>
      <w:r>
        <w:tab/>
      </w:r>
    </w:p>
    <w:p w14:paraId="4629D86D" w14:textId="77777777" w:rsidR="00083353" w:rsidRDefault="00083353" w:rsidP="006C542B">
      <w:pPr>
        <w:pStyle w:val="BodyText"/>
        <w:tabs>
          <w:tab w:val="left" w:pos="709"/>
        </w:tabs>
        <w:ind w:left="709" w:right="1134" w:hanging="709"/>
        <w:jc w:val="left"/>
      </w:pPr>
      <w:r>
        <w:t xml:space="preserve">2.11 </w:t>
      </w:r>
      <w:r w:rsidR="00333155">
        <w:tab/>
      </w:r>
      <w:r>
        <w:t>The following activities are prohibited in the vehicle:</w:t>
      </w:r>
    </w:p>
    <w:p w14:paraId="4E609DD8" w14:textId="77777777" w:rsidR="00083353" w:rsidRDefault="00083353" w:rsidP="006C542B">
      <w:pPr>
        <w:pStyle w:val="BodyText"/>
        <w:numPr>
          <w:ilvl w:val="0"/>
          <w:numId w:val="3"/>
        </w:numPr>
        <w:tabs>
          <w:tab w:val="left" w:pos="709"/>
        </w:tabs>
        <w:ind w:left="1134" w:right="1134" w:hanging="421"/>
        <w:jc w:val="left"/>
      </w:pPr>
      <w:r>
        <w:t>Striptease</w:t>
      </w:r>
    </w:p>
    <w:p w14:paraId="6B9455E9" w14:textId="77777777" w:rsidR="00083353" w:rsidRDefault="00083353" w:rsidP="006C542B">
      <w:pPr>
        <w:pStyle w:val="BodyText"/>
        <w:numPr>
          <w:ilvl w:val="0"/>
          <w:numId w:val="3"/>
        </w:numPr>
        <w:tabs>
          <w:tab w:val="left" w:pos="709"/>
        </w:tabs>
        <w:ind w:left="1134" w:right="1134" w:hanging="421"/>
        <w:jc w:val="left"/>
      </w:pPr>
      <w:r>
        <w:t>Lap dancing</w:t>
      </w:r>
    </w:p>
    <w:p w14:paraId="34B0C1CF" w14:textId="77777777" w:rsidR="00083353" w:rsidRDefault="00083353" w:rsidP="006C542B">
      <w:pPr>
        <w:pStyle w:val="BodyText"/>
        <w:numPr>
          <w:ilvl w:val="0"/>
          <w:numId w:val="3"/>
        </w:numPr>
        <w:tabs>
          <w:tab w:val="left" w:pos="709"/>
        </w:tabs>
        <w:ind w:left="1134" w:right="1134" w:hanging="421"/>
        <w:jc w:val="left"/>
      </w:pPr>
      <w:r>
        <w:t>Pole dancing</w:t>
      </w:r>
    </w:p>
    <w:p w14:paraId="7C07E6E8" w14:textId="77777777" w:rsidR="00083353" w:rsidRDefault="00083353" w:rsidP="006C542B">
      <w:pPr>
        <w:pStyle w:val="BodyText"/>
        <w:numPr>
          <w:ilvl w:val="0"/>
          <w:numId w:val="3"/>
        </w:numPr>
        <w:tabs>
          <w:tab w:val="left" w:pos="709"/>
        </w:tabs>
        <w:ind w:left="1134" w:right="1134" w:hanging="421"/>
        <w:jc w:val="left"/>
      </w:pPr>
      <w:r>
        <w:t>Any other activity or performance of a similar kind</w:t>
      </w:r>
      <w:r>
        <w:tab/>
      </w:r>
    </w:p>
    <w:p w14:paraId="563241C6" w14:textId="77777777" w:rsidR="00083353" w:rsidRDefault="00083353" w:rsidP="006C542B">
      <w:pPr>
        <w:pStyle w:val="BodyText"/>
        <w:tabs>
          <w:tab w:val="left" w:pos="709"/>
        </w:tabs>
        <w:ind w:left="709" w:right="1134" w:hanging="709"/>
        <w:jc w:val="left"/>
      </w:pPr>
      <w:r>
        <w:tab/>
      </w:r>
      <w:r>
        <w:tab/>
      </w:r>
    </w:p>
    <w:p w14:paraId="61122D8F" w14:textId="77777777" w:rsidR="00083353" w:rsidRDefault="00083353" w:rsidP="006C542B">
      <w:pPr>
        <w:pStyle w:val="BodyText"/>
        <w:tabs>
          <w:tab w:val="left" w:pos="709"/>
        </w:tabs>
        <w:ind w:left="709" w:right="1134" w:hanging="709"/>
        <w:jc w:val="left"/>
      </w:pPr>
      <w:r>
        <w:t xml:space="preserve">2.12 </w:t>
      </w:r>
      <w:r w:rsidR="00333155">
        <w:tab/>
      </w:r>
      <w:r>
        <w:t xml:space="preserve">Any alcoholic drinks provided in the vehicle shall only be sold/supplied under the terms of an appropriate licence. Alcohol shall only be served whilst the vehicle is stationary in non-breakable receptacles (e.g. plastic). At all other times, bottles are to be stored in a secure manner. </w:t>
      </w:r>
      <w:r>
        <w:tab/>
      </w:r>
    </w:p>
    <w:p w14:paraId="116A9E9E" w14:textId="77777777" w:rsidR="00083353" w:rsidRDefault="00083353" w:rsidP="006C542B">
      <w:pPr>
        <w:pStyle w:val="BodyText"/>
        <w:tabs>
          <w:tab w:val="left" w:pos="709"/>
        </w:tabs>
        <w:ind w:left="709" w:right="1134" w:hanging="709"/>
        <w:jc w:val="left"/>
      </w:pPr>
      <w:r>
        <w:tab/>
      </w:r>
      <w:r>
        <w:tab/>
      </w:r>
    </w:p>
    <w:p w14:paraId="4253DACE" w14:textId="77777777" w:rsidR="00083353" w:rsidRDefault="00083353" w:rsidP="006C542B">
      <w:pPr>
        <w:pStyle w:val="BodyText"/>
        <w:tabs>
          <w:tab w:val="left" w:pos="709"/>
        </w:tabs>
        <w:ind w:left="709" w:right="1134" w:hanging="709"/>
        <w:jc w:val="left"/>
      </w:pPr>
      <w:r>
        <w:t xml:space="preserve">2.13 </w:t>
      </w:r>
      <w:r w:rsidR="00333155">
        <w:tab/>
      </w:r>
      <w:r>
        <w:t>Alcohol shall not be available in the vehicle when used for bookings for groups of passengers under  18 years.  Bookings for groups of passengers under  18 years shall only be provided with non-alcoholic beverages from plastic glasses and bottles.</w:t>
      </w:r>
      <w:r>
        <w:tab/>
      </w:r>
    </w:p>
    <w:p w14:paraId="25FDEEA6" w14:textId="77777777" w:rsidR="00083353" w:rsidRDefault="00083353" w:rsidP="006C542B">
      <w:pPr>
        <w:pStyle w:val="BodyText"/>
        <w:tabs>
          <w:tab w:val="left" w:pos="709"/>
        </w:tabs>
        <w:ind w:left="709" w:right="1134" w:hanging="709"/>
        <w:jc w:val="left"/>
      </w:pPr>
      <w:r>
        <w:tab/>
      </w:r>
      <w:r>
        <w:tab/>
      </w:r>
    </w:p>
    <w:p w14:paraId="19B919AB" w14:textId="77777777" w:rsidR="00083353" w:rsidRDefault="00083353" w:rsidP="006C542B">
      <w:pPr>
        <w:pStyle w:val="BodyText"/>
        <w:tabs>
          <w:tab w:val="left" w:pos="709"/>
        </w:tabs>
        <w:ind w:left="709" w:right="1134" w:hanging="709"/>
        <w:jc w:val="left"/>
      </w:pPr>
      <w:r>
        <w:t xml:space="preserve">2.14 </w:t>
      </w:r>
      <w:r w:rsidR="00333155">
        <w:tab/>
      </w:r>
      <w:r>
        <w:t>Children under the age of 16 years must be accompanied by either a parent/guardian or an appropriate adult. Any person/escort provided by the licen</w:t>
      </w:r>
      <w:r w:rsidR="006C542B">
        <w:t>c</w:t>
      </w:r>
      <w:r>
        <w:t>e holder must be Disclosure and Barring Service (DBS) checked. The details of the persons travelling and the name and contact details of the person responsible for the booking must be completed and maintained by the driver. A copy of the form must be carried by the driver.</w:t>
      </w:r>
    </w:p>
    <w:sectPr w:rsidR="00083353" w:rsidSect="00F87297">
      <w:footerReference w:type="even" r:id="rId7"/>
      <w:footerReference w:type="default" r:id="rId8"/>
      <w:footerReference w:type="first" r:id="rId9"/>
      <w:footnotePr>
        <w:numStart w:val="2"/>
      </w:footnotePr>
      <w:pgSz w:w="11901" w:h="16840" w:code="1"/>
      <w:pgMar w:top="1440" w:right="987"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B537" w14:textId="77777777" w:rsidR="001F095B" w:rsidRDefault="001F095B">
      <w:r>
        <w:separator/>
      </w:r>
    </w:p>
  </w:endnote>
  <w:endnote w:type="continuationSeparator" w:id="0">
    <w:p w14:paraId="2BC19DC0" w14:textId="77777777" w:rsidR="001F095B" w:rsidRDefault="001F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0038" w14:textId="77777777" w:rsidR="009A199E" w:rsidRDefault="009A1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954333D" w14:textId="77777777" w:rsidR="009A199E" w:rsidRDefault="009A1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AEBE" w14:textId="77777777" w:rsidR="009A199E" w:rsidRDefault="009A199E" w:rsidP="00F87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2833" w14:textId="77777777" w:rsidR="009A199E" w:rsidRDefault="009A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73E9" w14:textId="77777777" w:rsidR="001F095B" w:rsidRDefault="001F095B">
      <w:r>
        <w:separator/>
      </w:r>
    </w:p>
  </w:footnote>
  <w:footnote w:type="continuationSeparator" w:id="0">
    <w:p w14:paraId="11791792" w14:textId="77777777" w:rsidR="001F095B" w:rsidRDefault="001F0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343"/>
    <w:multiLevelType w:val="hybridMultilevel"/>
    <w:tmpl w:val="BC00D006"/>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 w15:restartNumberingAfterBreak="0">
    <w:nsid w:val="4BD85CBD"/>
    <w:multiLevelType w:val="hybridMultilevel"/>
    <w:tmpl w:val="E98C20FE"/>
    <w:lvl w:ilvl="0" w:tplc="F74EFBA8">
      <w:start w:val="3"/>
      <w:numFmt w:val="bullet"/>
      <w:lvlText w:val="•"/>
      <w:lvlJc w:val="left"/>
      <w:pPr>
        <w:ind w:left="1065"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214EC"/>
    <w:multiLevelType w:val="hybridMultilevel"/>
    <w:tmpl w:val="9884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6/05/2016 14:24"/>
  </w:docVars>
  <w:rsids>
    <w:rsidRoot w:val="00CB1A69"/>
    <w:rsid w:val="00006372"/>
    <w:rsid w:val="00007FDF"/>
    <w:rsid w:val="00022E5C"/>
    <w:rsid w:val="000260F7"/>
    <w:rsid w:val="00026577"/>
    <w:rsid w:val="000306B9"/>
    <w:rsid w:val="000329D1"/>
    <w:rsid w:val="00034461"/>
    <w:rsid w:val="00036FB9"/>
    <w:rsid w:val="00043ABC"/>
    <w:rsid w:val="00075725"/>
    <w:rsid w:val="00083353"/>
    <w:rsid w:val="00083A91"/>
    <w:rsid w:val="00087B62"/>
    <w:rsid w:val="00093DE7"/>
    <w:rsid w:val="000C4236"/>
    <w:rsid w:val="000C6FFF"/>
    <w:rsid w:val="000D3AA9"/>
    <w:rsid w:val="000E4DD1"/>
    <w:rsid w:val="000F400D"/>
    <w:rsid w:val="000F4911"/>
    <w:rsid w:val="00100231"/>
    <w:rsid w:val="00107434"/>
    <w:rsid w:val="001112D5"/>
    <w:rsid w:val="00114E59"/>
    <w:rsid w:val="001370B3"/>
    <w:rsid w:val="00137C81"/>
    <w:rsid w:val="00142197"/>
    <w:rsid w:val="00144361"/>
    <w:rsid w:val="00165A17"/>
    <w:rsid w:val="00183714"/>
    <w:rsid w:val="00190220"/>
    <w:rsid w:val="001A0AAD"/>
    <w:rsid w:val="001A7791"/>
    <w:rsid w:val="001B2191"/>
    <w:rsid w:val="001B220D"/>
    <w:rsid w:val="001D030C"/>
    <w:rsid w:val="001E5F46"/>
    <w:rsid w:val="001F095B"/>
    <w:rsid w:val="001F299A"/>
    <w:rsid w:val="001F3DED"/>
    <w:rsid w:val="00212CC4"/>
    <w:rsid w:val="00213667"/>
    <w:rsid w:val="00220D22"/>
    <w:rsid w:val="00250B8D"/>
    <w:rsid w:val="00254B13"/>
    <w:rsid w:val="002709C4"/>
    <w:rsid w:val="00283647"/>
    <w:rsid w:val="00283DA3"/>
    <w:rsid w:val="002B0D35"/>
    <w:rsid w:val="002C3C93"/>
    <w:rsid w:val="002F0FBC"/>
    <w:rsid w:val="002F2FEF"/>
    <w:rsid w:val="002F6409"/>
    <w:rsid w:val="002F7F3C"/>
    <w:rsid w:val="003107DD"/>
    <w:rsid w:val="00321C98"/>
    <w:rsid w:val="00333155"/>
    <w:rsid w:val="00333FDB"/>
    <w:rsid w:val="0034626D"/>
    <w:rsid w:val="003543AF"/>
    <w:rsid w:val="0036428D"/>
    <w:rsid w:val="00390F84"/>
    <w:rsid w:val="003B06CA"/>
    <w:rsid w:val="003B4786"/>
    <w:rsid w:val="003D4238"/>
    <w:rsid w:val="003D5591"/>
    <w:rsid w:val="003E7573"/>
    <w:rsid w:val="0041341E"/>
    <w:rsid w:val="00434114"/>
    <w:rsid w:val="00435993"/>
    <w:rsid w:val="00455473"/>
    <w:rsid w:val="004577AC"/>
    <w:rsid w:val="00467FE9"/>
    <w:rsid w:val="00497F2F"/>
    <w:rsid w:val="004A35DF"/>
    <w:rsid w:val="004A53BD"/>
    <w:rsid w:val="004D517F"/>
    <w:rsid w:val="004E2529"/>
    <w:rsid w:val="004F1204"/>
    <w:rsid w:val="00530DEC"/>
    <w:rsid w:val="005355E2"/>
    <w:rsid w:val="00541521"/>
    <w:rsid w:val="00564BA8"/>
    <w:rsid w:val="00572654"/>
    <w:rsid w:val="00572A08"/>
    <w:rsid w:val="005C55A9"/>
    <w:rsid w:val="00602000"/>
    <w:rsid w:val="006050D1"/>
    <w:rsid w:val="00606EB9"/>
    <w:rsid w:val="00632EE1"/>
    <w:rsid w:val="00633A11"/>
    <w:rsid w:val="0065540A"/>
    <w:rsid w:val="006626BD"/>
    <w:rsid w:val="006850B0"/>
    <w:rsid w:val="00687F4F"/>
    <w:rsid w:val="0069345C"/>
    <w:rsid w:val="006B1BDD"/>
    <w:rsid w:val="006B2A3C"/>
    <w:rsid w:val="006B5139"/>
    <w:rsid w:val="006C542B"/>
    <w:rsid w:val="006E240D"/>
    <w:rsid w:val="006E53A8"/>
    <w:rsid w:val="006F1EC8"/>
    <w:rsid w:val="00712E05"/>
    <w:rsid w:val="00713094"/>
    <w:rsid w:val="00717D3B"/>
    <w:rsid w:val="00721BB9"/>
    <w:rsid w:val="0072636E"/>
    <w:rsid w:val="00757918"/>
    <w:rsid w:val="00764867"/>
    <w:rsid w:val="0076576F"/>
    <w:rsid w:val="007751F5"/>
    <w:rsid w:val="00785FDD"/>
    <w:rsid w:val="00786E51"/>
    <w:rsid w:val="007B7355"/>
    <w:rsid w:val="007D208C"/>
    <w:rsid w:val="007E36A0"/>
    <w:rsid w:val="007F1815"/>
    <w:rsid w:val="0080509B"/>
    <w:rsid w:val="00811896"/>
    <w:rsid w:val="00815069"/>
    <w:rsid w:val="00815817"/>
    <w:rsid w:val="00841B40"/>
    <w:rsid w:val="008614E1"/>
    <w:rsid w:val="00873934"/>
    <w:rsid w:val="00875C58"/>
    <w:rsid w:val="008A767A"/>
    <w:rsid w:val="008B35A7"/>
    <w:rsid w:val="008B366E"/>
    <w:rsid w:val="008B411A"/>
    <w:rsid w:val="008D5B72"/>
    <w:rsid w:val="0090460A"/>
    <w:rsid w:val="00943C90"/>
    <w:rsid w:val="00953350"/>
    <w:rsid w:val="00953B88"/>
    <w:rsid w:val="009618D9"/>
    <w:rsid w:val="00974364"/>
    <w:rsid w:val="009954AD"/>
    <w:rsid w:val="009A199E"/>
    <w:rsid w:val="009A66C0"/>
    <w:rsid w:val="009D5F90"/>
    <w:rsid w:val="009E60D8"/>
    <w:rsid w:val="009E6ECB"/>
    <w:rsid w:val="009F2A15"/>
    <w:rsid w:val="00A020FC"/>
    <w:rsid w:val="00A203BF"/>
    <w:rsid w:val="00A323C0"/>
    <w:rsid w:val="00A36BD7"/>
    <w:rsid w:val="00A45B3C"/>
    <w:rsid w:val="00A6355E"/>
    <w:rsid w:val="00A74041"/>
    <w:rsid w:val="00A83784"/>
    <w:rsid w:val="00A839C8"/>
    <w:rsid w:val="00A84D60"/>
    <w:rsid w:val="00A85C7E"/>
    <w:rsid w:val="00A90710"/>
    <w:rsid w:val="00AB3A73"/>
    <w:rsid w:val="00AC6E4B"/>
    <w:rsid w:val="00AD6239"/>
    <w:rsid w:val="00AE36A9"/>
    <w:rsid w:val="00AE6BDB"/>
    <w:rsid w:val="00AF2B40"/>
    <w:rsid w:val="00B10BDC"/>
    <w:rsid w:val="00B120BB"/>
    <w:rsid w:val="00B13B60"/>
    <w:rsid w:val="00B2203E"/>
    <w:rsid w:val="00B3089D"/>
    <w:rsid w:val="00B354A4"/>
    <w:rsid w:val="00B377CC"/>
    <w:rsid w:val="00BB3758"/>
    <w:rsid w:val="00BB699B"/>
    <w:rsid w:val="00BD5733"/>
    <w:rsid w:val="00BE5877"/>
    <w:rsid w:val="00BF7B2D"/>
    <w:rsid w:val="00C02046"/>
    <w:rsid w:val="00C10C10"/>
    <w:rsid w:val="00C13044"/>
    <w:rsid w:val="00C45293"/>
    <w:rsid w:val="00C60D48"/>
    <w:rsid w:val="00C753BA"/>
    <w:rsid w:val="00C816E0"/>
    <w:rsid w:val="00CB1A69"/>
    <w:rsid w:val="00CD6B80"/>
    <w:rsid w:val="00CF5909"/>
    <w:rsid w:val="00D02065"/>
    <w:rsid w:val="00D16FE6"/>
    <w:rsid w:val="00D17BD7"/>
    <w:rsid w:val="00D4420E"/>
    <w:rsid w:val="00D5665D"/>
    <w:rsid w:val="00D61552"/>
    <w:rsid w:val="00D63BD0"/>
    <w:rsid w:val="00D662D6"/>
    <w:rsid w:val="00D668DB"/>
    <w:rsid w:val="00D72F01"/>
    <w:rsid w:val="00D92851"/>
    <w:rsid w:val="00D969C2"/>
    <w:rsid w:val="00DB1C75"/>
    <w:rsid w:val="00DC5FC5"/>
    <w:rsid w:val="00DD492C"/>
    <w:rsid w:val="00DE2D1C"/>
    <w:rsid w:val="00DE37B2"/>
    <w:rsid w:val="00DE5AEF"/>
    <w:rsid w:val="00DF3534"/>
    <w:rsid w:val="00E12551"/>
    <w:rsid w:val="00E23DF5"/>
    <w:rsid w:val="00E32ADD"/>
    <w:rsid w:val="00E60EEC"/>
    <w:rsid w:val="00E62599"/>
    <w:rsid w:val="00E6342C"/>
    <w:rsid w:val="00E64E21"/>
    <w:rsid w:val="00EA0885"/>
    <w:rsid w:val="00EC4EF1"/>
    <w:rsid w:val="00F13A70"/>
    <w:rsid w:val="00F254A0"/>
    <w:rsid w:val="00F27268"/>
    <w:rsid w:val="00F46959"/>
    <w:rsid w:val="00F52793"/>
    <w:rsid w:val="00F66B28"/>
    <w:rsid w:val="00F87094"/>
    <w:rsid w:val="00F87297"/>
    <w:rsid w:val="00FA06DD"/>
    <w:rsid w:val="00FA4A93"/>
    <w:rsid w:val="00FA5B3E"/>
    <w:rsid w:val="00FA63E5"/>
    <w:rsid w:val="00FA6E1A"/>
    <w:rsid w:val="00FB056E"/>
    <w:rsid w:val="00FB33E6"/>
    <w:rsid w:val="00FB63B3"/>
    <w:rsid w:val="00FC06E4"/>
    <w:rsid w:val="00FC35AD"/>
    <w:rsid w:val="00FD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C595F"/>
  <w15:chartTrackingRefBased/>
  <w15:docId w15:val="{5327F517-D924-472D-B6A7-3AE041F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before="240" w:after="60"/>
      <w:outlineLvl w:val="0"/>
    </w:pPr>
    <w:rPr>
      <w:rFonts w:ascii="Arial" w:hAnsi="Arial"/>
      <w:b/>
      <w:kern w:val="28"/>
      <w:sz w:val="28"/>
      <w:lang w:val="en-GB"/>
    </w:rPr>
  </w:style>
  <w:style w:type="paragraph" w:styleId="Heading2">
    <w:name w:val="heading 2"/>
    <w:basedOn w:val="Normal"/>
    <w:next w:val="Normal"/>
    <w:qFormat/>
    <w:pPr>
      <w:keepNext/>
      <w:outlineLvl w:val="1"/>
    </w:pPr>
    <w:rPr>
      <w:b/>
      <w:sz w:val="24"/>
      <w:lang w:val="en-GB"/>
    </w:rPr>
  </w:style>
  <w:style w:type="paragraph" w:styleId="Heading3">
    <w:name w:val="heading 3"/>
    <w:basedOn w:val="Normal"/>
    <w:next w:val="Normal"/>
    <w:qFormat/>
    <w:pPr>
      <w:keepNext/>
      <w:jc w:val="center"/>
      <w:outlineLvl w:val="2"/>
    </w:pPr>
    <w:rPr>
      <w:rFonts w:ascii="Arial" w:hAnsi="Arial"/>
      <w:b/>
      <w:sz w:val="32"/>
      <w:lang w:val="en-GB"/>
    </w:rPr>
  </w:style>
  <w:style w:type="paragraph" w:styleId="Heading4">
    <w:name w:val="heading 4"/>
    <w:basedOn w:val="Normal"/>
    <w:next w:val="Normal"/>
    <w:qFormat/>
    <w:pPr>
      <w:keepNext/>
      <w:ind w:left="709"/>
      <w:outlineLvl w:val="3"/>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9" w:hanging="709"/>
      <w:jc w:val="both"/>
    </w:pPr>
    <w:rPr>
      <w:rFonts w:ascii="Arial" w:hAnsi="Arial"/>
      <w:sz w:val="24"/>
    </w:rPr>
  </w:style>
  <w:style w:type="paragraph" w:customStyle="1" w:styleId="Style1">
    <w:name w:val="Style1"/>
    <w:basedOn w:val="Normal"/>
    <w:rPr>
      <w:rFonts w:ascii="Arial" w:hAnsi="Arial"/>
      <w:b/>
      <w:sz w:val="28"/>
    </w:rPr>
  </w:style>
  <w:style w:type="paragraph" w:customStyle="1" w:styleId="Style2">
    <w:name w:val="Style2"/>
    <w:basedOn w:val="Normal"/>
    <w:rPr>
      <w:rFonts w:ascii="Arial" w:hAnsi="Arial"/>
      <w:i/>
      <w:sz w:val="24"/>
    </w:rPr>
  </w:style>
  <w:style w:type="paragraph" w:customStyle="1" w:styleId="Maintitle">
    <w:name w:val="Main title"/>
    <w:basedOn w:val="Normal"/>
    <w:rPr>
      <w:rFonts w:ascii="Arial" w:hAnsi="Arial"/>
      <w:outline/>
      <w:color w:val="FFFFFF" w:themeColor="background1"/>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Basictext">
    <w:name w:val="Basic text"/>
    <w:basedOn w:val="Normal"/>
    <w:rPr>
      <w:rFonts w:ascii="Arial" w:hAnsi="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32"/>
      <w:lang w:val="en-GB"/>
    </w:rPr>
  </w:style>
  <w:style w:type="paragraph" w:styleId="BodyText">
    <w:name w:val="Body Text"/>
    <w:basedOn w:val="Normal"/>
    <w:link w:val="BodyTextChar"/>
    <w:uiPriority w:val="1"/>
    <w:qFormat/>
    <w:pPr>
      <w:jc w:val="both"/>
    </w:pPr>
    <w:rPr>
      <w:rFonts w:ascii="Arial" w:hAnsi="Arial"/>
      <w:sz w:val="24"/>
      <w:lang w:val="en-GB"/>
    </w:rPr>
  </w:style>
  <w:style w:type="paragraph" w:styleId="TOC2">
    <w:name w:val="toc 2"/>
    <w:basedOn w:val="Normal"/>
    <w:next w:val="Normal"/>
    <w:semiHidden/>
    <w:pPr>
      <w:spacing w:before="240"/>
    </w:pPr>
    <w:rPr>
      <w:b/>
    </w:rPr>
  </w:style>
  <w:style w:type="paragraph" w:styleId="TOC1">
    <w:name w:val="toc 1"/>
    <w:basedOn w:val="Normal"/>
    <w:next w:val="Normal"/>
    <w:autoRedefine/>
    <w:semiHidden/>
    <w:rsid w:val="00BF4D13"/>
    <w:pPr>
      <w:tabs>
        <w:tab w:val="left" w:pos="1985"/>
        <w:tab w:val="right" w:leader="dot" w:pos="8636"/>
      </w:tabs>
      <w:spacing w:before="360" w:line="480" w:lineRule="auto"/>
      <w:ind w:left="1667" w:hanging="1667"/>
    </w:pPr>
    <w:rPr>
      <w:rFonts w:ascii="Arial" w:hAnsi="Arial"/>
      <w:b/>
      <w:caps/>
      <w:sz w:val="24"/>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2">
    <w:name w:val="Body Text Indent 2"/>
    <w:basedOn w:val="Normal"/>
    <w:pPr>
      <w:ind w:left="709" w:hanging="709"/>
    </w:pPr>
    <w:rPr>
      <w:rFonts w:ascii="Arial" w:hAnsi="Arial"/>
      <w:sz w:val="24"/>
      <w:lang w:val="en-GB"/>
    </w:rPr>
  </w:style>
  <w:style w:type="paragraph" w:styleId="Index1">
    <w:name w:val="index 1"/>
    <w:basedOn w:val="Normal"/>
    <w:next w:val="Normal"/>
    <w:autoRedefine/>
    <w:semiHidden/>
    <w:pPr>
      <w:ind w:left="200" w:hanging="200"/>
    </w:pPr>
  </w:style>
  <w:style w:type="paragraph" w:styleId="BodyTextIndent3">
    <w:name w:val="Body Text Indent 3"/>
    <w:basedOn w:val="Normal"/>
    <w:pPr>
      <w:ind w:left="709" w:firstLine="11"/>
      <w:jc w:val="both"/>
    </w:pPr>
    <w:rPr>
      <w:rFonts w:ascii="Arial" w:hAnsi="Arial"/>
      <w:sz w:val="24"/>
    </w:rPr>
  </w:style>
  <w:style w:type="paragraph" w:styleId="Subtitle">
    <w:name w:val="Subtitle"/>
    <w:basedOn w:val="Normal"/>
    <w:qFormat/>
    <w:pPr>
      <w:jc w:val="center"/>
    </w:pPr>
    <w:rPr>
      <w:b/>
      <w:sz w:val="24"/>
      <w:lang w:val="en-GB"/>
    </w:rPr>
  </w:style>
  <w:style w:type="table" w:styleId="TableGrid">
    <w:name w:val="Table Grid"/>
    <w:basedOn w:val="TableNormal"/>
    <w:rsid w:val="005E22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rsid w:val="00626DFA"/>
    <w:pPr>
      <w:tabs>
        <w:tab w:val="right" w:leader="dot" w:pos="6480"/>
      </w:tabs>
      <w:spacing w:after="240" w:line="240" w:lineRule="atLeast"/>
    </w:pPr>
    <w:rPr>
      <w:rFonts w:ascii="Arial" w:hAnsi="Arial"/>
      <w:spacing w:val="-5"/>
      <w:sz w:val="22"/>
      <w:lang w:val="en-GB"/>
    </w:rPr>
  </w:style>
  <w:style w:type="paragraph" w:styleId="BalloonText">
    <w:name w:val="Balloon Text"/>
    <w:basedOn w:val="Normal"/>
    <w:semiHidden/>
    <w:rsid w:val="00190220"/>
    <w:rPr>
      <w:rFonts w:ascii="Tahoma" w:hAnsi="Tahoma" w:cs="Tahoma"/>
      <w:sz w:val="16"/>
      <w:szCs w:val="16"/>
    </w:rPr>
  </w:style>
  <w:style w:type="paragraph" w:styleId="DocumentMap">
    <w:name w:val="Document Map"/>
    <w:basedOn w:val="Normal"/>
    <w:semiHidden/>
    <w:rsid w:val="00283647"/>
    <w:pPr>
      <w:shd w:val="clear" w:color="auto" w:fill="000080"/>
    </w:pPr>
    <w:rPr>
      <w:rFonts w:ascii="Tahoma" w:hAnsi="Tahoma" w:cs="Tahoma"/>
    </w:rPr>
  </w:style>
  <w:style w:type="character" w:styleId="CommentReference">
    <w:name w:val="annotation reference"/>
    <w:uiPriority w:val="99"/>
    <w:rsid w:val="000F400D"/>
    <w:rPr>
      <w:sz w:val="16"/>
      <w:szCs w:val="16"/>
    </w:rPr>
  </w:style>
  <w:style w:type="paragraph" w:styleId="CommentText">
    <w:name w:val="annotation text"/>
    <w:basedOn w:val="Normal"/>
    <w:link w:val="CommentTextChar"/>
    <w:uiPriority w:val="99"/>
    <w:rsid w:val="000F400D"/>
  </w:style>
  <w:style w:type="character" w:customStyle="1" w:styleId="CommentTextChar">
    <w:name w:val="Comment Text Char"/>
    <w:link w:val="CommentText"/>
    <w:uiPriority w:val="99"/>
    <w:rsid w:val="000F400D"/>
    <w:rPr>
      <w:lang w:val="en-US"/>
    </w:rPr>
  </w:style>
  <w:style w:type="paragraph" w:styleId="CommentSubject">
    <w:name w:val="annotation subject"/>
    <w:basedOn w:val="CommentText"/>
    <w:next w:val="CommentText"/>
    <w:link w:val="CommentSubjectChar"/>
    <w:rsid w:val="000F400D"/>
    <w:rPr>
      <w:b/>
      <w:bCs/>
    </w:rPr>
  </w:style>
  <w:style w:type="character" w:customStyle="1" w:styleId="CommentSubjectChar">
    <w:name w:val="Comment Subject Char"/>
    <w:link w:val="CommentSubject"/>
    <w:rsid w:val="000F400D"/>
    <w:rPr>
      <w:b/>
      <w:bCs/>
      <w:lang w:val="en-US"/>
    </w:rPr>
  </w:style>
  <w:style w:type="table" w:customStyle="1" w:styleId="TableGrid1">
    <w:name w:val="Table Grid1"/>
    <w:basedOn w:val="TableNormal"/>
    <w:next w:val="TableGrid"/>
    <w:rsid w:val="00D6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F3C"/>
    <w:pPr>
      <w:ind w:left="720"/>
    </w:pPr>
  </w:style>
  <w:style w:type="paragraph" w:customStyle="1" w:styleId="Default">
    <w:name w:val="Default"/>
    <w:rsid w:val="005355E2"/>
    <w:pPr>
      <w:autoSpaceDE w:val="0"/>
      <w:autoSpaceDN w:val="0"/>
      <w:adjustRightInd w:val="0"/>
    </w:pPr>
    <w:rPr>
      <w:rFonts w:ascii="Arial" w:hAnsi="Arial" w:cs="Arial"/>
      <w:color w:val="000000"/>
      <w:sz w:val="24"/>
      <w:szCs w:val="24"/>
    </w:rPr>
  </w:style>
  <w:style w:type="character" w:customStyle="1" w:styleId="BodyTextChar">
    <w:name w:val="Body Text Char"/>
    <w:link w:val="BodyText"/>
    <w:uiPriority w:val="1"/>
    <w:rsid w:val="007E36A0"/>
    <w:rPr>
      <w:rFonts w:ascii="Arial" w:hAnsi="Arial"/>
      <w:sz w:val="24"/>
    </w:rPr>
  </w:style>
  <w:style w:type="paragraph" w:styleId="NoSpacing">
    <w:name w:val="No Spacing"/>
    <w:uiPriority w:val="1"/>
    <w:qFormat/>
    <w:rsid w:val="007E36A0"/>
    <w:pPr>
      <w:widowControl w:val="0"/>
      <w:autoSpaceDE w:val="0"/>
      <w:autoSpaceDN w:val="0"/>
    </w:pPr>
    <w:rPr>
      <w:rFonts w:ascii="Arial" w:eastAsia="Arial" w:hAnsi="Arial" w:cs="Arial"/>
      <w:sz w:val="22"/>
      <w:szCs w:val="22"/>
      <w:lang w:bidi="en-GB"/>
    </w:rPr>
  </w:style>
  <w:style w:type="paragraph" w:styleId="Revision">
    <w:name w:val="Revision"/>
    <w:hidden/>
    <w:uiPriority w:val="99"/>
    <w:semiHidden/>
    <w:rsid w:val="00C1304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East Northamptonshire Council</vt:lpstr>
    </vt:vector>
  </TitlesOfParts>
  <Company>East Northamptonshire Council</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Northamptonshire Council</dc:title>
  <dc:subject/>
  <dc:creator>Computer Section</dc:creator>
  <cp:keywords/>
  <cp:lastModifiedBy>Amanda Wilcox</cp:lastModifiedBy>
  <cp:revision>2</cp:revision>
  <cp:lastPrinted>2016-08-16T09:10:00Z</cp:lastPrinted>
  <dcterms:created xsi:type="dcterms:W3CDTF">2022-04-28T18:28:00Z</dcterms:created>
  <dcterms:modified xsi:type="dcterms:W3CDTF">2022-04-28T18:28:00Z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02301147</vt:lpwstr>
  </property>
  <property fmtid="{D5CDD505-2E9C-101B-9397-08002B2CF9AE}" pid="3" name="MatterRef">
    <vt:lpwstr>(N) L-ENV00982</vt:lpwstr>
  </property>
  <property fmtid="{D5CDD505-2E9C-101B-9397-08002B2CF9AE}" pid="4" name="DocRecipient">
    <vt:lpwstr/>
  </property>
  <property fmtid="{D5CDD505-2E9C-101B-9397-08002B2CF9AE}" pid="5" name="DocContact">
    <vt:lpwstr/>
  </property>
  <property fmtid="{D5CDD505-2E9C-101B-9397-08002B2CF9AE}" pid="6" name="DocDescription">
    <vt:lpwstr>Taxi -Discreet Plate Policy (Appen F).doc</vt:lpwstr>
  </property>
  <property fmtid="{D5CDD505-2E9C-101B-9397-08002B2CF9AE}" pid="7" name="DocType">
    <vt:lpwstr>Import</vt:lpwstr>
  </property>
  <property fmtid="{D5CDD505-2E9C-101B-9397-08002B2CF9AE}" pid="8" name="DocTemplate">
    <vt:lpwstr>Imported Document</vt:lpwstr>
  </property>
  <property fmtid="{D5CDD505-2E9C-101B-9397-08002B2CF9AE}" pid="9" name="DocCreatedBy">
    <vt:lpwstr>JLIBURD</vt:lpwstr>
  </property>
  <property fmtid="{D5CDD505-2E9C-101B-9397-08002B2CF9AE}" pid="10" name="DocOwnerId">
    <vt:lpwstr>JLIBURD</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Licensing</vt:lpwstr>
  </property>
  <property fmtid="{D5CDD505-2E9C-101B-9397-08002B2CF9AE}" pid="14" name="MatterName">
    <vt:lpwstr>Taxi Policy Review - ENC</vt:lpwstr>
  </property>
  <property fmtid="{D5CDD505-2E9C-101B-9397-08002B2CF9AE}" pid="15" name="Client">
    <vt:lpwstr>(N) ENC007 - Environmental Services</vt:lpwstr>
  </property>
  <property fmtid="{D5CDD505-2E9C-101B-9397-08002B2CF9AE}" pid="16" name="Account">
    <vt:lpwstr>Account</vt:lpwstr>
  </property>
  <property fmtid="{D5CDD505-2E9C-101B-9397-08002B2CF9AE}" pid="17" name="MatterOpenFrom">
    <vt:lpwstr>04/04/2016</vt:lpwstr>
  </property>
  <property fmtid="{D5CDD505-2E9C-101B-9397-08002B2CF9AE}" pid="18" name="DocOwnerName">
    <vt:lpwstr>Julie Liburd</vt:lpwstr>
  </property>
  <property fmtid="{D5CDD505-2E9C-101B-9397-08002B2CF9AE}" pid="19" name="DocOwnerEmail">
    <vt:lpwstr>julie.liburd@cambridgeshire.gov.uk</vt:lpwstr>
  </property>
  <property fmtid="{D5CDD505-2E9C-101B-9397-08002B2CF9AE}" pid="20" name="DocOwnerTelephone">
    <vt:lpwstr>01604 363802</vt:lpwstr>
  </property>
  <property fmtid="{D5CDD505-2E9C-101B-9397-08002B2CF9AE}" pid="21" name="DocOwnerFax">
    <vt:lpwstr>01604 367167</vt:lpwstr>
  </property>
  <property fmtid="{D5CDD505-2E9C-101B-9397-08002B2CF9AE}" pid="22" name="DocOwnerLocation">
    <vt:lpwstr/>
  </property>
  <property fmtid="{D5CDD505-2E9C-101B-9397-08002B2CF9AE}" pid="23" name="DocOwnerRole">
    <vt:lpwstr>Lawyer</vt:lpwstr>
  </property>
  <property fmtid="{D5CDD505-2E9C-101B-9397-08002B2CF9AE}" pid="24" name="DocOwnerInitials">
    <vt:lpwstr>JL</vt:lpwstr>
  </property>
  <property fmtid="{D5CDD505-2E9C-101B-9397-08002B2CF9AE}" pid="25" name="DocCreatorName">
    <vt:lpwstr>Julie Liburd</vt:lpwstr>
  </property>
  <property fmtid="{D5CDD505-2E9C-101B-9397-08002B2CF9AE}" pid="26" name="DocCreatorEmail">
    <vt:lpwstr>julie.liburd@cambridgeshire.gov.uk</vt:lpwstr>
  </property>
  <property fmtid="{D5CDD505-2E9C-101B-9397-08002B2CF9AE}" pid="27" name="DocCreatorTelephone">
    <vt:lpwstr>01604 363802</vt:lpwstr>
  </property>
  <property fmtid="{D5CDD505-2E9C-101B-9397-08002B2CF9AE}" pid="28" name="DocCreatorFax">
    <vt:lpwstr>01604 367167</vt:lpwstr>
  </property>
  <property fmtid="{D5CDD505-2E9C-101B-9397-08002B2CF9AE}" pid="29" name="DocCreatorLocation">
    <vt:lpwstr/>
  </property>
  <property fmtid="{D5CDD505-2E9C-101B-9397-08002B2CF9AE}" pid="30" name="DocCreatorRole">
    <vt:lpwstr>Lawyer</vt:lpwstr>
  </property>
  <property fmtid="{D5CDD505-2E9C-101B-9397-08002B2CF9AE}" pid="31" name="DocCreatorInitials">
    <vt:lpwstr>JL</vt:lpwstr>
  </property>
  <property fmtid="{D5CDD505-2E9C-101B-9397-08002B2CF9AE}" pid="32" name="DocVersion">
    <vt:lpwstr>DocVersion</vt:lpwstr>
  </property>
</Properties>
</file>